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Optical payload removal and refit with a connector discrepancy</w:t>
      </w:r>
    </w:p>
    <w:p>
      <w:pPr>
        <w:pStyle w:val="Subtitle"/>
      </w:pPr>
      <w:r>
        <w:t>ESV-S01-SOP-01   Payload satellite   Simulation procedure</w:t>
      </w:r>
    </w:p>
    <w:p>
      <w:pPr/>
      <w:r>
        <w:t>Remove and refit the optical payload during an unpowered ground-integration rehearsal. Resolve a conflicting connector instruction before releasing the harness and mount, then prove that the final configuration matches the approved starting state.</w:t>
      </w:r>
    </w:p>
    <w:p>
      <w:pPr/>
      <w:r>
        <w:t>Use this procedure to author and assess a controlled simulation with the Payload satellite model, version 5. This is a concept-model training exercise. It does not authorise real hardware work or establish flight qualification.</w:t>
      </w:r>
    </w:p>
    <w:p>
      <w:pPr>
        <w:pStyle w:val="Heading1"/>
      </w:pPr>
      <w:r>
        <w:t>Before the exercise</w:t>
      </w:r>
    </w:p>
    <w:p>
      <w:pPr/>
      <w:r>
        <w:t>Load the saved version 5 scene. The scenario owner supplies the harness map, isolated-power evidence, ESD condition, supported and parked poses, removal path and assessment tolerances. Keep a separate fixture root. No real hardware is energised.</w:t>
      </w:r>
    </w:p>
    <w:p>
      <w:pPr/>
      <w:r>
        <w:t>Identity and provenance: ESV-S01-SOP-01 · S01 · model v5 · 25 October 2026</w:t>
      </w:r>
    </w:p>
    <w:p>
      <w:hyperlink r:id="rId11">
        <w:r>
          <w:rPr>
            <w:color w:val="154A7B"/>
          </w:rPr>
          <w:t>Explore the model and related procedures</w:t>
        </w:r>
      </w:hyperlink>
    </w:p>
    <w:p>
      <w:pPr>
        <w:pStyle w:val="Heading1"/>
      </w:pPr>
      <w:r>
        <w:t>1 Establish the task configuration</w:t>
      </w:r>
    </w:p>
    <w:p>
      <w:pPr/>
      <w:r>
        <w:t>Model labels: bus, base, optics</w:t>
      </w:r>
    </w:p>
    <w:p>
      <w:pPr/>
      <w:r>
        <w:t>Match the spacecraft, fixture and optical payload to the saved version 5 starting configuration. Select the three correct objects and save the baseline pose.</w:t>
      </w:r>
    </w:p>
    <w:p>
      <w:pPr/>
      <w:r>
        <w:t>Check: Proceed only when all three identities and the task revision agree.</w:t>
      </w:r>
    </w:p>
    <w:p>
      <w:pPr>
        <w:pStyle w:val="Heading1"/>
      </w:pPr>
      <w:r>
        <w:t>2 Secure the ground support</w:t>
      </w:r>
    </w:p>
    <w:p>
      <w:pPr/>
      <w:r>
        <w:t>Model labels: base, foot_rf, foot_lf, foot_rr, foot_lr</w:t>
      </w:r>
    </w:p>
    <w:p>
      <w:pPr/>
      <w:r>
        <w:t>Confirm all four support locations and put the simulated work package into the secured-fixture state. Keep the fixture independent of the spacecraft.</w:t>
      </w:r>
    </w:p>
    <w:p>
      <w:pPr/>
      <w:r>
        <w:t>Check: A missing or misidentified support prevents the removal sequence.</w:t>
      </w:r>
    </w:p>
    <w:p>
      <w:pPr>
        <w:pStyle w:val="Heading1"/>
      </w:pPr>
      <w:r>
        <w:t>3 Establish the unpowered work state</w:t>
      </w:r>
    </w:p>
    <w:p>
      <w:pPr/>
      <w:r>
        <w:t>Model labels: conn_ru, conn_rl, conn_lu, conn_ll</w:t>
      </w:r>
    </w:p>
    <w:p>
      <w:pPr/>
      <w:r>
        <w:t>Identify all four connector positions and acknowledge the scenario's power-isolated and ESD-ready condition before disconnecting anything.</w:t>
      </w:r>
    </w:p>
    <w:p>
      <w:pPr/>
      <w:r>
        <w:t>Check: Power state is supplied by the scenario or an instrument record; the mesh does not prove it.</w:t>
      </w:r>
    </w:p>
    <w:p>
      <w:pPr>
        <w:pStyle w:val="Heading1"/>
        <w:pageBreakBefore/>
      </w:pPr>
      <w:r>
        <w:t>4 Trace the intended harness</w:t>
      </w:r>
    </w:p>
    <w:p>
      <w:pPr/>
      <w:r>
        <w:t>Model labels: conn_ru, cable_r, cable_r_sleeve</w:t>
      </w:r>
    </w:p>
    <w:p>
      <w:pPr/>
      <w:r>
        <w:t>Follow the training-defined right harness from its connector to the optical payload. Compare the actual connector identity with the task card.</w:t>
      </w:r>
    </w:p>
    <w:p>
      <w:pPr/>
      <w:r>
        <w:t>Check: This fictional exercise maps the harness to conn_ru; an actual programme supplies its own mapping.</w:t>
      </w:r>
    </w:p>
    <w:p>
      <w:pPr>
        <w:pStyle w:val="Heading1"/>
      </w:pPr>
      <w:r>
        <w:t>5 Catch the planted discrepancy</w:t>
      </w:r>
    </w:p>
    <w:p>
      <w:pPr/>
      <w:r>
        <w:t>Model labels: conn_ru, conn_rl, cable_r_head_clip</w:t>
      </w:r>
    </w:p>
    <w:p>
      <w:pPr/>
      <w:r>
        <w:t>Present a task card calling for the lower connector while the approved training configuration calls for the upper one. Learner must place a hold, capture both identities and request the reviewed correction.</w:t>
      </w:r>
    </w:p>
    <w:p>
      <w:pPr/>
      <w:r>
        <w:t>Check: Continuing with the lower connector is a critical error. The approved branch corrects the task card and resumes from this checkpoint.</w:t>
      </w:r>
    </w:p>
    <w:p>
      <w:pPr>
        <w:pStyle w:val="Heading1"/>
      </w:pPr>
      <w:r>
        <w:t>6 Open the access area</w:t>
      </w:r>
    </w:p>
    <w:p>
      <w:pPr/>
      <w:r>
        <w:t>Model labels: optic_hatch_r, optics, cable_r_head_clip</w:t>
      </w:r>
    </w:p>
    <w:p>
      <w:pPr/>
      <w:r>
        <w:t>Select the right optical access cover, expose the cable retention area and identify the retaining clip. Use a declared detachable-cover animation if hinge travel has not been established.</w:t>
      </w:r>
    </w:p>
    <w:p>
      <w:pPr/>
      <w:r>
        <w:t>Check: Do not infer an engineered hinge axis or open the opposite-side cover.</w:t>
      </w:r>
    </w:p>
    <w:p>
      <w:pPr>
        <w:pStyle w:val="Heading1"/>
      </w:pPr>
      <w:r>
        <w:t>7 Release the harness in sequence</w:t>
      </w:r>
    </w:p>
    <w:p>
      <w:pPr/>
      <w:r>
        <w:t>Model labels: cable_r_head_clip, cable_r_sleeve, cable_r, conn_ru</w:t>
      </w:r>
    </w:p>
    <w:p>
      <w:pPr/>
      <w:r>
        <w:t>Release the simulated retention, disconnect the reviewed connector and move the right harness into the defined stowed position.</w:t>
      </w:r>
    </w:p>
    <w:p>
      <w:pPr/>
      <w:r>
        <w:t>Check: Record the selected parts and sequence; prevent pulling the payload while the harness remains connected.</w:t>
      </w:r>
    </w:p>
    <w:p>
      <w:pPr>
        <w:pStyle w:val="Heading1"/>
      </w:pPr>
      <w:r>
        <w:t>8 Support and remove the optical payload</w:t>
      </w:r>
    </w:p>
    <w:p>
      <w:pPr/>
      <w:r>
        <w:t>Model labels: optics, S01-PMI, bus</w:t>
      </w:r>
    </w:p>
    <w:p>
      <w:pPr/>
      <w:r>
        <w:t>Set the supported-payload hold point, release the payload mount interface and withdraw the optical assembly along the authored removal path into its parked pose.</w:t>
      </w:r>
    </w:p>
    <w:p>
      <w:pPr/>
      <w:r>
        <w:t>Check: The mount cannot be released before the support acknowledgement. Fastener-level actions require separately addressable fasteners; do not invent them.</w:t>
      </w:r>
    </w:p>
    <w:p>
      <w:pPr>
        <w:pStyle w:val="Heading1"/>
        <w:pageBreakBefore/>
      </w:pPr>
      <w:r>
        <w:t>9 Refit to the correct interface</w:t>
      </w:r>
    </w:p>
    <w:p>
      <w:pPr/>
      <w:r>
        <w:t>Model labels: S01-PMI, optics, bus</w:t>
      </w:r>
    </w:p>
    <w:p>
      <w:pPr/>
      <w:r>
        <w:t>Return the optical assembly to its saved baseline pose and align its mount interface with the bus. Reject a reversed or incomplete seating state.</w:t>
      </w:r>
    </w:p>
    <w:p>
      <w:pPr/>
      <w:r>
        <w:t>Check: Assess against declared simulation pose tolerances, not unsupported flight alignment claims.</w:t>
      </w:r>
    </w:p>
    <w:p>
      <w:pPr>
        <w:pStyle w:val="Heading1"/>
      </w:pPr>
      <w:r>
        <w:t>10 Restore the harness and retention</w:t>
      </w:r>
    </w:p>
    <w:p>
      <w:pPr/>
      <w:r>
        <w:t>Model labels: conn_ru, cable_r, cable_r_sleeve, cable_r_head_clip</w:t>
      </w:r>
    </w:p>
    <w:p>
      <w:pPr/>
      <w:r>
        <w:t>Reconnect the correct connector, restore the harness route and sleeve position, and re-engage retention in the reviewed order.</w:t>
      </w:r>
    </w:p>
    <w:p>
      <w:pPr/>
      <w:r>
        <w:t>Check: The lower connector remains a decoy. Missing retention or the wrong route prevents completion.</w:t>
      </w:r>
    </w:p>
    <w:p>
      <w:pPr>
        <w:pStyle w:val="Heading1"/>
      </w:pPr>
      <w:r>
        <w:t>11 Close and verify clearance</w:t>
      </w:r>
    </w:p>
    <w:p>
      <w:pPr/>
      <w:r>
        <w:t>Model labels: optic_hatch_r, solar_r, solar_l, objective</w:t>
      </w:r>
    </w:p>
    <w:p>
      <w:pPr/>
      <w:r>
        <w:t>Restore the access cover. Check the harness/cover against both folded arrays and keep the objective in the no-contact zone.</w:t>
      </w:r>
    </w:p>
    <w:p>
      <w:pPr/>
      <w:r>
        <w:t>Check: Use reviewed geometric envelopes where available; visual appearance alone is not a clearance measurement.</w:t>
      </w:r>
    </w:p>
    <w:p>
      <w:pPr>
        <w:pStyle w:val="Heading1"/>
      </w:pPr>
      <w:r>
        <w:t>12 Demonstrate completion and hand over</w:t>
      </w:r>
    </w:p>
    <w:p>
      <w:pPr/>
      <w:r>
        <w:t>Model labels: S01-PMI, optics, conn_ru, cable_r_head_clip, base</w:t>
      </w:r>
    </w:p>
    <w:p>
      <w:pPr/>
      <w:r>
        <w:t>Compare final and baseline configuration, review the discrepancy/recovery record and submit the evidence package for the next engineer.</w:t>
      </w:r>
    </w:p>
    <w:p>
      <w:pPr/>
      <w:r>
        <w:t>Check: Record identity, order, positions, hold resolution and required external test records. Do not infer torque, electrical continuity or powered performance from video alone.</w:t>
      </w:r>
    </w:p>
    <w:p>
      <w:pPr>
        <w:pStyle w:val="Heading1"/>
      </w:pPr>
      <w:r>
        <w:t>Assessment and completion</w:t>
      </w:r>
    </w:p>
    <w:p>
      <w:pPr/>
      <w:r>
        <w:t>Score component identification 25, sequence 20, discrepancy handling 20, restored configuration 20 and evidence handover 15. Wrong-connector continuation, unsupported payload release or work before power-state confirmation prevents completion. Preserve both the original discrepancy and the accepted recovery.</w:t>
      </w:r>
    </w:p>
    <w:p>
      <w:pPr>
        <w:pStyle w:val="Heading1"/>
      </w:pPr>
      <w:r>
        <w:t>Authoring and headless handoff</w:t>
      </w:r>
    </w:p>
    <w:p>
      <w:pPr/>
      <w:r>
        <w:t>Bind the optics assembly, its cover, harness and mount to their actual component IDs. Configure supported, disconnected, parked, seated and retained states. Use declared detachable-cover and removal transforms; do not infer hinge travel or fastener-level actions from the mesh. Instrument results remain explicit scenario evidence.</w:t>
      </w:r>
    </w:p>
    <w:p>
      <w:pPr/>
      <w:r>
        <w:t>Reuse the exact GLB and component identifiers above. Verify the supported Genesis import and binding path; the current Creator scene driver can generate a different model. This document and its JSON describe authoring intent, not completed interactions. Preserve one model revision and record actual lesson, job and review identifiers during execution.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Working brief  25 October 2026                              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sz w:val="16"/>
      </w:rPr>
      <w:t>EON SPACE VENTURES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 w:eastAsia="Arial" w:cs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cstheme="majorBidi" w:ascii="Arial" w:hAnsi="Arial" w:eastAsia="Arial" w:cs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theme="majorBidi" w:ascii="Arial" w:hAnsi="Arial" w:eastAsia="Arial" w:cs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 w:ascii="Arial" w:hAnsi="Arial" w:eastAsia="Arial" w:cs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 w:ascii="Arial" w:hAnsi="Arial" w:eastAsia="Arial" w:cs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 w:ascii="Arial" w:hAnsi="Arial" w:eastAsia="Arial" w:cs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 w:ascii="Arial" w:hAnsi="Arial" w:eastAsia="Arial" w:cs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 w:ascii="Arial" w:hAnsi="Arial" w:eastAsia="Arial" w:cs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 w:ascii="Arial" w:hAnsi="Arial" w:eastAsia="Arial" w:cs="Arial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 w:ascii="Arial" w:hAnsi="Arial" w:eastAsia="Arial" w:cs="Arial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 w:eastAsia="Arial" w:cs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cstheme="majorBidi" w:ascii="Arial" w:hAnsi="Arial" w:eastAsia="Arial" w:cs="Arial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60"/>
    </w:pPr>
    <w:rPr>
      <w:rFonts w:cstheme="majorBidi" w:ascii="Arial" w:hAnsi="Arial" w:eastAsia="Arial" w:cs="Arial"/>
      <w:i/>
      <w:iCs/>
      <w:color w:val="00000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 w:eastAsia="Arial" w:cs="Arial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 w:eastAsia="Arial" w:cs="Arial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 w:eastAsia="Arial" w:cs="Arial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 w:eastAsia="Arial" w:cs="Arial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 w:eastAsia="Arial" w:cs="Arial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 w:eastAsia="Arial" w:cs="Arial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 w:eastAsia="Arial" w:cs="Arial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Arial" w:cs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 w:eastAsia="Arial" w:cs="Arial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 w:eastAsia="Arial" w:cs="Arial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eastAsia="Arial" w:cs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 w:eastAsia="Arial" w:cs="Arial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 w:eastAsia="Arial" w:cs="Arial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 w:eastAsia="Arial" w:cs="Arial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 w:eastAsia="Arial" w:cs="Arial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 w:eastAsia="Arial" w:cs="Arial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 w:eastAsia="Arial" w:cs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eastAsia="Arial" w:cs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 w:eastAsia="Arial" w:cs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 w:eastAsia="Arial" w:cs="Arial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eonspaceventures.com/models/#s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