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Robot payload exchange with a controlled handoff</w:t>
      </w:r>
    </w:p>
    <w:p>
      <w:pPr>
        <w:pStyle w:val="Subtitle"/>
      </w:pPr>
      <w:r>
        <w:t>ESV-S04-SOP-01   Robot servicing workcell   Simulation procedure</w:t>
      </w:r>
    </w:p>
    <w:p>
      <w:pPr/>
      <w:r>
        <w:t>Rehearse a supervised robot exchanging a satellite payload while coordinating gripper state, payload latches, socket identity and support responsibility. Stop and recover from a false release indication.</w:t>
      </w:r>
    </w:p>
    <w:p>
      <w:pPr/>
      <w:r>
        <w:t>Use this procedure to author and assess a controlled simulation with the Robot servicing workcell model, version 3. This is a concept-model training exercise. It does not authorise real hardware work or establish flight qualification.</w:t>
      </w:r>
    </w:p>
    <w:p>
      <w:pPr>
        <w:pStyle w:val="Heading1"/>
      </w:pPr>
      <w:r>
        <w:t>Before the exercise</w:t>
      </w:r>
    </w:p>
    <w:p>
      <w:pPr/>
      <w:r>
        <w:t>Use the unpowered workcell concept and authored robot poses. The learner runs a simulation, not a physical robot. Supply reviewed approach, grasp, parked and seated states; verified kinematics and force control are not assumed.</w:t>
      </w:r>
    </w:p>
    <w:p>
      <w:pPr/>
      <w:r>
        <w:t>Identity and provenance: ESV-S04-SOP-01 · S04 · model v3 · 25 October 2026</w:t>
      </w:r>
    </w:p>
    <w:p>
      <w:hyperlink r:id="rId11">
        <w:r>
          <w:rPr>
            <w:color w:val="154A7B"/>
          </w:rPr>
          <w:t>Explore the model and related procedures</w:t>
        </w:r>
      </w:hyperlink>
    </w:p>
    <w:p>
      <w:pPr>
        <w:pStyle w:val="Heading1"/>
      </w:pPr>
      <w:r>
        <w:t>1 Confirm the workcell configuration</w:t>
      </w:r>
    </w:p>
    <w:p>
      <w:pPr/>
      <w:r>
        <w:t>Model labels: bench, robot, satellite</w:t>
      </w:r>
    </w:p>
    <w:p>
      <w:pPr/>
      <w:r>
        <w:t>Match the bench, robot and satellite to the saved training configuration. Confirm the correct payload exchange task and model revision.</w:t>
      </w:r>
    </w:p>
    <w:p>
      <w:pPr/>
      <w:r>
        <w:t>Check: All three identities must agree before any robot movement.</w:t>
      </w:r>
    </w:p>
    <w:p>
      <w:pPr>
        <w:pStyle w:val="Heading1"/>
      </w:pPr>
      <w:r>
        <w:t>2 Establish the supervised mode</w:t>
      </w:r>
    </w:p>
    <w:p>
      <w:pPr/>
      <w:r>
        <w:t>Model labels: robot.base.cover, robot.shoulder, robot.elbow</w:t>
      </w:r>
    </w:p>
    <w:p>
      <w:pPr/>
      <w:r>
        <w:t>Confirm the scenario supplied supervised, energy isolated training mode. Identify the shoulder and elbow groups used by the authored pose sequence.</w:t>
      </w:r>
    </w:p>
    <w:p>
      <w:pPr/>
      <w:r>
        <w:t>Check: This acknowledgement does not establish real robot safety functions or joint limits.</w:t>
      </w:r>
    </w:p>
    <w:p>
      <w:pPr>
        <w:pStyle w:val="Heading1"/>
      </w:pPr>
      <w:r>
        <w:t>3 Identify the payload interfaces</w:t>
      </w:r>
    </w:p>
    <w:p>
      <w:pPr/>
      <w:r>
        <w:t>Model labels: sat.payload, sat.payload.mount, sat.socket</w:t>
      </w:r>
    </w:p>
    <w:p>
      <w:pPr/>
      <w:r>
        <w:t>Select the payload, mounting interface and socket. Compare their identity and starting state with the training task card.</w:t>
      </w:r>
    </w:p>
    <w:p>
      <w:pPr/>
      <w:r>
        <w:t>Check: The learner must distinguish payload from supporting satellite structure.</w:t>
      </w:r>
    </w:p>
    <w:p>
      <w:pPr>
        <w:pStyle w:val="Heading1"/>
        <w:pageBreakBefore/>
      </w:pPr>
      <w:r>
        <w:t>4 Prepare the gripper approach</w:t>
      </w:r>
    </w:p>
    <w:p>
      <w:pPr/>
      <w:r>
        <w:t>Model labels: gripper, gripper.upper, gripper.lower, robot.wrist</w:t>
      </w:r>
    </w:p>
    <w:p>
      <w:pPr/>
      <w:r>
        <w:t>Move to the reviewed approach pose with both jaws open. Check the gripper envelope against the payload before proceeding.</w:t>
      </w:r>
    </w:p>
    <w:p>
      <w:pPr/>
      <w:r>
        <w:t>Check: Approach stops at the authored boundary; no force based grasp is inferred.</w:t>
      </w:r>
    </w:p>
    <w:p>
      <w:pPr>
        <w:pStyle w:val="Heading1"/>
      </w:pPr>
      <w:r>
        <w:t>5 Confirm the grasp evidence</w:t>
      </w:r>
    </w:p>
    <w:p>
      <w:pPr/>
      <w:r>
        <w:t>Model labels: gripper.upper, gripper.lower, sat.payload</w:t>
      </w:r>
    </w:p>
    <w:p>
      <w:pPr/>
      <w:r>
        <w:t>Apply the simulated grasp state and record jaw and payload relationship. Require an independent support acknowledgement before releasing the satellite interface.</w:t>
      </w:r>
    </w:p>
    <w:p>
      <w:pPr/>
      <w:r>
        <w:t>Check: A closed jaw appearance alone is not accepted as a supported payload.</w:t>
      </w:r>
    </w:p>
    <w:p>
      <w:pPr>
        <w:pStyle w:val="Heading1"/>
      </w:pPr>
      <w:r>
        <w:t>6 Release the four payload latches</w:t>
      </w:r>
    </w:p>
    <w:p>
      <w:pPr/>
      <w:r>
        <w:t>Model labels: sat.payload.latchRU, sat.payload.latchRL, sat.payload.latchLU, sat.payload.latchLL</w:t>
      </w:r>
    </w:p>
    <w:p>
      <w:pPr/>
      <w:r>
        <w:t>Release each latch in the authored sequence while the payload remains supported. Keep the latch evidence separate from the gripper state.</w:t>
      </w:r>
    </w:p>
    <w:p>
      <w:pPr/>
      <w:r>
        <w:t>Check: An unreleased latch blocks withdrawal.</w:t>
      </w:r>
    </w:p>
    <w:p>
      <w:pPr>
        <w:pStyle w:val="Heading1"/>
      </w:pPr>
      <w:r>
        <w:t>7 Recover the false release indication</w:t>
      </w:r>
    </w:p>
    <w:p>
      <w:pPr/>
      <w:r>
        <w:t>Model labels: sat.payload.latchRL, sat.payload, gripper</w:t>
      </w:r>
    </w:p>
    <w:p>
      <w:pPr/>
      <w:r>
        <w:t>Present a task indication saying all latches are released while one latch state remains engaged. Hold and compare the actual state record with the instruction.</w:t>
      </w:r>
    </w:p>
    <w:p>
      <w:pPr/>
      <w:r>
        <w:t>Check: Continuing withdrawal through the retained latch is a critical error.</w:t>
      </w:r>
    </w:p>
    <w:p>
      <w:pPr>
        <w:pStyle w:val="Heading1"/>
      </w:pPr>
      <w:r>
        <w:t>8 Withdraw to the parked pose</w:t>
      </w:r>
    </w:p>
    <w:p>
      <w:pPr/>
      <w:r>
        <w:t>Model labels: sat.payload, sat.socket, robot.forearm, gripper</w:t>
      </w:r>
    </w:p>
    <w:p>
      <w:pPr/>
      <w:r>
        <w:t>Resolve the latch state, then move the supported payload along the reviewed withdrawal path. Park it without disturbing the satellite socket.</w:t>
      </w:r>
    </w:p>
    <w:p>
      <w:pPr/>
      <w:r>
        <w:t>Check: The path requires clear latch, support and socket separation states.</w:t>
      </w:r>
    </w:p>
    <w:p>
      <w:pPr>
        <w:pStyle w:val="Heading1"/>
        <w:pageBreakBefore/>
      </w:pPr>
      <w:r>
        <w:t>9 Reintroduce the replacement state</w:t>
      </w:r>
    </w:p>
    <w:p>
      <w:pPr/>
      <w:r>
        <w:t>Model labels: sat.payload, sat.payload.mount, sat.socket</w:t>
      </w:r>
    </w:p>
    <w:p>
      <w:pPr/>
      <w:r>
        <w:t>Return the payload mesh as the scenario defined replacement state. Approach the mounting interface in the saved orientation.</w:t>
      </w:r>
    </w:p>
    <w:p>
      <w:pPr/>
      <w:r>
        <w:t>Check: Replacement identity is explicit scenario metadata, not proof of a different physical spare.</w:t>
      </w:r>
    </w:p>
    <w:p>
      <w:pPr>
        <w:pStyle w:val="Heading1"/>
      </w:pPr>
      <w:r>
        <w:t>10 Seat and latch the payload</w:t>
      </w:r>
    </w:p>
    <w:p>
      <w:pPr/>
      <w:r>
        <w:t>Model labels: sat.payload, sat.payload.mount, sat.payload.latchRU, sat.payload.latchLL</w:t>
      </w:r>
    </w:p>
    <w:p>
      <w:pPr/>
      <w:r>
        <w:t>Seat to the authored datum and engage all required latch states. Confirm the socket interface before transferring support back to the satellite.</w:t>
      </w:r>
    </w:p>
    <w:p>
      <w:pPr/>
      <w:r>
        <w:t>Check: An incomplete seating or latch record prevents support transfer.</w:t>
      </w:r>
    </w:p>
    <w:p>
      <w:pPr>
        <w:pStyle w:val="Heading1"/>
      </w:pPr>
      <w:r>
        <w:t>11 Release and retreat the gripper</w:t>
      </w:r>
    </w:p>
    <w:p>
      <w:pPr/>
      <w:r>
        <w:t>Model labels: gripper.upper, gripper.lower, robot.wrist, sat.payload</w:t>
      </w:r>
    </w:p>
    <w:p>
      <w:pPr/>
      <w:r>
        <w:t>Confirm satellite support, open the gripper and follow the reviewed retreat pose sequence. Leave the payload and mount in their accepted states.</w:t>
      </w:r>
    </w:p>
    <w:p>
      <w:pPr/>
      <w:r>
        <w:t>Check: The gripper cannot release before the receiving support state is established.</w:t>
      </w:r>
    </w:p>
    <w:p>
      <w:pPr>
        <w:pStyle w:val="Heading1"/>
      </w:pPr>
      <w:r>
        <w:t>12 Submit the exchange evidence</w:t>
      </w:r>
    </w:p>
    <w:p>
      <w:pPr/>
      <w:r>
        <w:t>Model labels: sat.payload, sat.socket, robot, bench</w:t>
      </w:r>
    </w:p>
    <w:p>
      <w:pPr/>
      <w:r>
        <w:t>Submit the pose sequence, latch events, support handoffs and fault recovery. Return the workcell to its named ready configuration.</w:t>
      </w:r>
    </w:p>
    <w:p>
      <w:pPr/>
      <w:r>
        <w:t>Check: Complete only when all holds are resolved and the payload is independently retained.</w:t>
      </w:r>
    </w:p>
    <w:p>
      <w:pPr>
        <w:pStyle w:val="Heading1"/>
      </w:pPr>
      <w:r>
        <w:t>Assessment and completion</w:t>
      </w:r>
    </w:p>
    <w:p>
      <w:pPr/>
      <w:r>
        <w:t>Score object identification 20, support and latch dependencies 30, fault handling 20, restored configuration 15 and evidence 15. Unsupported release or withdrawing against an engaged latch stops completion.</w:t>
      </w:r>
    </w:p>
    <w:p>
      <w:pPr>
        <w:pStyle w:val="Heading1"/>
      </w:pPr>
      <w:r>
        <w:t>Authoring and headless handoff</w:t>
      </w:r>
    </w:p>
    <w:p>
      <w:pPr/>
      <w:r>
        <w:t>Bind robot, gripper and payload objects to reviewed keyframes and explicit state transitions. Validate parent groups and child transforms before export. This exercise does not send robot commands or demonstrate validated grasp forces.</w:t>
      </w:r>
    </w:p>
    <w:p>
      <w:pPr/>
      <w:r>
        <w:t>Reuse the exact GLB and component identifiers above. Verify the supported Genesis import and binding path; the current Creator scene driver can generate a different model. This document and its JSON describe authoring intent, not completed interactions. Preserve one model revision and record actual lesson, job and review identifiers during execution.</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Working brief  25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EON SPACE VENTURES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eastAsia="Arial" w:cs="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Arial" w:hAnsi="Arial" w:eastAsia="Arial" w:cs="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Arial" w:hAnsi="Arial" w:eastAsia="Arial" w:cs="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cstheme="majorBidi" w:ascii="Arial" w:hAnsi="Arial" w:eastAsia="Arial" w:cs="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60"/>
    </w:pPr>
    <w:rPr>
      <w:rFonts w:cstheme="majorBidi" w:ascii="Arial" w:hAnsi="Arial" w:eastAsia="Arial" w:cs="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color w:val="000000"/>
    </w:rPr>
  </w:style>
  <w:style w:type="paragraph" w:styleId="BodyText">
    <w:name w:val="Body Text"/>
    <w:basedOn w:val="Normal"/>
    <w:link w:val="BodyTextChar"/>
    <w:uiPriority w:val="99"/>
    <w:unhideWhenUsed/>
    <w:rsid w:val="00AA1D8D"/>
    <w:pPr>
      <w:spacing w:after="120"/>
    </w:pPr>
    <w:rPr>
      <w:rFonts w:ascii="Arial" w:hAnsi="Arial" w:eastAsia="Arial" w:cs="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color w:val="000000"/>
    </w:rPr>
  </w:style>
  <w:style w:type="paragraph" w:styleId="List2">
    <w:name w:val="List 2"/>
    <w:basedOn w:val="Normal"/>
    <w:uiPriority w:val="99"/>
    <w:unhideWhenUsed/>
    <w:rsid w:val="00326F90"/>
    <w:pPr>
      <w:ind w:left="720" w:hanging="360"/>
      <w:contextualSpacing/>
    </w:pPr>
    <w:rPr>
      <w:rFonts w:ascii="Arial" w:hAnsi="Arial" w:eastAsia="Arial" w:cs="Arial"/>
      <w:color w:val="000000"/>
    </w:rPr>
  </w:style>
  <w:style w:type="paragraph" w:styleId="List3">
    <w:name w:val="List 3"/>
    <w:basedOn w:val="Normal"/>
    <w:uiPriority w:val="99"/>
    <w:unhideWhenUsed/>
    <w:rsid w:val="00326F90"/>
    <w:pPr>
      <w:ind w:left="1080" w:hanging="360"/>
      <w:contextualSpacing/>
    </w:pPr>
    <w:rPr>
      <w:rFonts w:ascii="Arial" w:hAnsi="Arial" w:eastAsia="Arial" w:cs="Arial"/>
      <w:color w:val="000000"/>
    </w:rPr>
  </w:style>
  <w:style w:type="paragraph" w:styleId="ListBullet">
    <w:name w:val="List Bullet"/>
    <w:basedOn w:val="Normal"/>
    <w:uiPriority w:val="99"/>
    <w:unhideWhenUsed/>
    <w:rsid w:val="00326F90"/>
    <w:pPr>
      <w:numPr>
        <w:numId w:val="1"/>
      </w:numPr>
      <w:contextualSpacing/>
    </w:pPr>
    <w:rPr>
      <w:rFonts w:ascii="Arial" w:hAnsi="Arial" w:eastAsia="Arial" w:cs="Arial"/>
      <w:color w:val="000000"/>
    </w:rPr>
  </w:style>
  <w:style w:type="paragraph" w:styleId="ListBullet2">
    <w:name w:val="List Bullet 2"/>
    <w:basedOn w:val="Normal"/>
    <w:uiPriority w:val="99"/>
    <w:unhideWhenUsed/>
    <w:rsid w:val="00326F90"/>
    <w:pPr>
      <w:numPr>
        <w:numId w:val="2"/>
      </w:numPr>
      <w:contextualSpacing/>
    </w:pPr>
    <w:rPr>
      <w:rFonts w:ascii="Arial" w:hAnsi="Arial" w:eastAsia="Arial" w:cs="Arial"/>
      <w:color w:val="000000"/>
    </w:rPr>
  </w:style>
  <w:style w:type="paragraph" w:styleId="ListBullet3">
    <w:name w:val="List Bullet 3"/>
    <w:basedOn w:val="Normal"/>
    <w:uiPriority w:val="99"/>
    <w:unhideWhenUsed/>
    <w:rsid w:val="00326F90"/>
    <w:pPr>
      <w:numPr>
        <w:numId w:val="3"/>
      </w:numPr>
      <w:contextualSpacing/>
    </w:pPr>
    <w:rPr>
      <w:rFonts w:ascii="Arial" w:hAnsi="Arial" w:eastAsia="Arial" w:cs="Arial"/>
      <w:color w:val="000000"/>
    </w:rPr>
  </w:style>
  <w:style w:type="paragraph" w:styleId="ListNumber">
    <w:name w:val="List Number"/>
    <w:basedOn w:val="Normal"/>
    <w:uiPriority w:val="99"/>
    <w:unhideWhenUsed/>
    <w:rsid w:val="00326F90"/>
    <w:pPr>
      <w:numPr>
        <w:numId w:val="5"/>
      </w:numPr>
      <w:contextualSpacing/>
    </w:pPr>
    <w:rPr>
      <w:rFonts w:ascii="Arial" w:hAnsi="Arial" w:eastAsia="Arial" w:cs="Arial"/>
      <w:color w:val="000000"/>
    </w:rPr>
  </w:style>
  <w:style w:type="paragraph" w:styleId="ListNumber2">
    <w:name w:val="List Number 2"/>
    <w:basedOn w:val="Normal"/>
    <w:uiPriority w:val="99"/>
    <w:unhideWhenUsed/>
    <w:rsid w:val="0029639D"/>
    <w:pPr>
      <w:numPr>
        <w:numId w:val="6"/>
      </w:numPr>
      <w:contextualSpacing/>
    </w:pPr>
    <w:rPr>
      <w:rFonts w:ascii="Arial" w:hAnsi="Arial" w:eastAsia="Arial" w:cs="Arial"/>
      <w:color w:val="000000"/>
    </w:rPr>
  </w:style>
  <w:style w:type="paragraph" w:styleId="ListNumber3">
    <w:name w:val="List Number 3"/>
    <w:basedOn w:val="Normal"/>
    <w:uiPriority w:val="99"/>
    <w:unhideWhenUsed/>
    <w:rsid w:val="0029639D"/>
    <w:pPr>
      <w:numPr>
        <w:numId w:val="7"/>
      </w:numPr>
      <w:contextualSpacing/>
    </w:pPr>
    <w:rPr>
      <w:rFonts w:ascii="Arial" w:hAnsi="Arial" w:eastAsia="Arial" w:cs="Arial"/>
      <w:color w:val="000000"/>
    </w:rPr>
  </w:style>
  <w:style w:type="paragraph" w:styleId="ListContinue">
    <w:name w:val="List Continue"/>
    <w:basedOn w:val="Normal"/>
    <w:uiPriority w:val="99"/>
    <w:unhideWhenUsed/>
    <w:rsid w:val="0029639D"/>
    <w:pPr>
      <w:spacing w:after="120"/>
      <w:ind w:left="360"/>
      <w:contextualSpacing/>
    </w:pPr>
    <w:rPr>
      <w:rFonts w:ascii="Arial" w:hAnsi="Arial" w:eastAsia="Arial" w:cs="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onspaceventures.com/models/#s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