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Service module exchange with connector recovery</w:t>
      </w:r>
    </w:p>
    <w:p>
      <w:pPr>
        <w:pStyle w:val="Subtitle"/>
      </w:pPr>
      <w:r>
        <w:t>ESV-S05-SOP-01   Serviceable satellite   Simulation procedure</w:t>
      </w:r>
    </w:p>
    <w:p>
      <w:pPr/>
      <w:r>
        <w:t>Rehearse exchanging the middle bay module while maintaining spacecraft support and preserving the intended harness configuration. Resolve a wrong-connector instruction before restoring the bay.</w:t>
      </w:r>
    </w:p>
    <w:p>
      <w:pPr/>
      <w:r>
        <w:t>Use this procedure to author and assess a controlled simulation with the Serviceable satellite model, version 4. This is a concept-model training exercise. It does not authorise real hardware work or establish flight qualification.</w:t>
      </w:r>
    </w:p>
    <w:p>
      <w:pPr>
        <w:pStyle w:val="Heading1"/>
      </w:pPr>
      <w:r>
        <w:t>Before the exercise</w:t>
      </w:r>
    </w:p>
    <w:p>
      <w:pPr/>
      <w:r>
        <w:t>Use the unpowered serviceable-satellite concept on its ground stand. Record the starting model pose and a training connector map approved by the exercise author. Supply module support, removal path, connector pairing and completion criteria as scenario data; the geometry alone does not establish them.</w:t>
      </w:r>
    </w:p>
    <w:p>
      <w:pPr/>
      <w:r>
        <w:t>Identity and provenance: ESV-S05-SOP-01 · S05 · model v4 · 25 October 2026</w:t>
      </w:r>
    </w:p>
    <w:p>
      <w:hyperlink r:id="rId11">
        <w:r>
          <w:rPr>
            <w:color w:val="154A7B"/>
          </w:rPr>
          <w:t>Explore the model and related procedures</w:t>
        </w:r>
      </w:hyperlink>
    </w:p>
    <w:p>
      <w:pPr>
        <w:pStyle w:val="Heading1"/>
      </w:pPr>
      <w:r>
        <w:t>1 Identify the supported assembly</w:t>
      </w:r>
    </w:p>
    <w:p>
      <w:pPr/>
      <w:r>
        <w:t>Model labels: stand, bus, bay.module2</w:t>
      </w:r>
    </w:p>
    <w:p>
      <w:pPr/>
      <w:r>
        <w:t>Select the spacecraft, its independent stand and the middle service module. Match the model version and save the starting configuration.</w:t>
      </w:r>
    </w:p>
    <w:p>
      <w:pPr/>
      <w:r>
        <w:t>Check: The stand remains fixed; a different module identity prevents progression.</w:t>
      </w:r>
    </w:p>
    <w:p>
      <w:pPr>
        <w:pStyle w:val="Heading1"/>
      </w:pPr>
      <w:r>
        <w:t>2 Establish the work state</w:t>
      </w:r>
    </w:p>
    <w:p>
      <w:pPr/>
      <w:r>
        <w:t>Model labels: bus.sideport, bay.harnessleft, bay.harnessright</w:t>
      </w:r>
    </w:p>
    <w:p>
      <w:pPr/>
      <w:r>
        <w:t>Read the supplied isolation record and place the exercise in its unpowered maintenance state. Identify both harness routes before opening the bay.</w:t>
      </w:r>
    </w:p>
    <w:p>
      <w:pPr/>
      <w:r>
        <w:t>Check: Require the recorded isolation state; appearance is insufficient evidence.</w:t>
      </w:r>
    </w:p>
    <w:p>
      <w:pPr>
        <w:pStyle w:val="Heading1"/>
      </w:pPr>
      <w:r>
        <w:t>3 Release and park the door</w:t>
      </w:r>
    </w:p>
    <w:p>
      <w:pPr/>
      <w:r>
        <w:t>Model labels: door, door.latchupper, door.latchmiddle, door.latchlower</w:t>
      </w:r>
    </w:p>
    <w:p>
      <w:pPr/>
      <w:r>
        <w:t>Release the three labelled latch objects in the authored order and move the door to its defined access pose.</w:t>
      </w:r>
    </w:p>
    <w:p>
      <w:pPr/>
      <w:r>
        <w:t>Check: All latch states must be released before the door movement completes.</w:t>
      </w:r>
    </w:p>
    <w:p>
      <w:pPr>
        <w:pStyle w:val="Heading1"/>
        <w:pageBreakBefore/>
      </w:pPr>
      <w:r>
        <w:t>4 Trace the middle module connection</w:t>
      </w:r>
    </w:p>
    <w:p>
      <w:pPr/>
      <w:r>
        <w:t>Model labels: bay.module2, bay.module2.connectorright, bay.jumper2</w:t>
      </w:r>
    </w:p>
    <w:p>
      <w:pPr/>
      <w:r>
        <w:t>Follow the training connection map from the middle module to its right connector and assigned jumper. Save this mapping.</w:t>
      </w:r>
    </w:p>
    <w:p>
      <w:pPr/>
      <w:r>
        <w:t>Check: The learner identifies the intended connector and jumper together.</w:t>
      </w:r>
    </w:p>
    <w:p>
      <w:pPr>
        <w:pStyle w:val="Heading1"/>
      </w:pPr>
      <w:r>
        <w:t>5 Resolve the connector discrepancy</w:t>
      </w:r>
    </w:p>
    <w:p>
      <w:pPr/>
      <w:r>
        <w:t>Model labels: bay.module2.connectorright, bay.module3.connectorright, bay.jumper2</w:t>
      </w:r>
    </w:p>
    <w:p>
      <w:pPr/>
      <w:r>
        <w:t>Present an instruction naming the lower module connector. Place a hold, record the conflicting identities and obtain the exercise reviewer correction.</w:t>
      </w:r>
    </w:p>
    <w:p>
      <w:pPr/>
      <w:r>
        <w:t>Check: Selecting the lower-module connector after the discrepancy is a critical error.</w:t>
      </w:r>
    </w:p>
    <w:p>
      <w:pPr>
        <w:pStyle w:val="Heading1"/>
      </w:pPr>
      <w:r>
        <w:t>6 Disconnect and stow the jumper</w:t>
      </w:r>
    </w:p>
    <w:p>
      <w:pPr/>
      <w:r>
        <w:t>Model labels: bay.jumper2, bay.module2.connectorright, bay.harnessright</w:t>
      </w:r>
    </w:p>
    <w:p>
      <w:pPr/>
      <w:r>
        <w:t>Disconnect the reviewed jumper route and place it in its authored stowed pose without pulling the adjacent harness.</w:t>
      </w:r>
    </w:p>
    <w:p>
      <w:pPr/>
      <w:r>
        <w:t>Check: Record the correct endpoint and stow state before allowing module release.</w:t>
      </w:r>
    </w:p>
    <w:p>
      <w:pPr>
        <w:pStyle w:val="Heading1"/>
      </w:pPr>
      <w:r>
        <w:t>7 Support the module</w:t>
      </w:r>
    </w:p>
    <w:p>
      <w:pPr/>
      <w:r>
        <w:t>Model labels: bay.module2, bay.frame, bay.wall.bottom</w:t>
      </w:r>
    </w:p>
    <w:p>
      <w:pPr/>
      <w:r>
        <w:t>Acknowledge the simulated module support and select its frame reference and lower clearance surface. Arm the removal sequence.</w:t>
      </w:r>
    </w:p>
    <w:p>
      <w:pPr/>
      <w:r>
        <w:t>Check: Module withdrawal remains blocked until support is acknowledged.</w:t>
      </w:r>
    </w:p>
    <w:p>
      <w:pPr>
        <w:pStyle w:val="Heading1"/>
      </w:pPr>
      <w:r>
        <w:t>8 Remove the middle module</w:t>
      </w:r>
    </w:p>
    <w:p>
      <w:pPr/>
      <w:r>
        <w:t>Model labels: bay.module2, bay.frame, bay.module1, bay.module3</w:t>
      </w:r>
    </w:p>
    <w:p>
      <w:pPr/>
      <w:r>
        <w:t>Translate the middle module along the approved demonstration path into its parked pose. Keep the upper and lower modules in place.</w:t>
      </w:r>
    </w:p>
    <w:p>
      <w:pPr/>
      <w:r>
        <w:t>Check: Evaluate path order and final pose against the authored clearance envelope.</w:t>
      </w:r>
    </w:p>
    <w:p>
      <w:pPr>
        <w:pStyle w:val="Heading1"/>
        <w:pageBreakBefore/>
      </w:pPr>
      <w:r>
        <w:t>9 Refit the module</w:t>
      </w:r>
    </w:p>
    <w:p>
      <w:pPr/>
      <w:r>
        <w:t>Model labels: bay.module2, bay.wall.bottom, bay.module2.connectorright</w:t>
      </w:r>
    </w:p>
    <w:p>
      <w:pPr/>
      <w:r>
        <w:t>Return the module to the saved interface pose with its connector facing the intended side. Reject a reversed insertion.</w:t>
      </w:r>
    </w:p>
    <w:p>
      <w:pPr/>
      <w:r>
        <w:t>Check: The seated pose and orientation must meet declared simulation tolerances.</w:t>
      </w:r>
    </w:p>
    <w:p>
      <w:pPr>
        <w:pStyle w:val="Heading1"/>
      </w:pPr>
      <w:r>
        <w:t>10 Restore the connection</w:t>
      </w:r>
    </w:p>
    <w:p>
      <w:pPr/>
      <w:r>
        <w:t>Model labels: bay.module2.connectorright, bay.jumper2, bay.harnessright</w:t>
      </w:r>
    </w:p>
    <w:p>
      <w:pPr/>
      <w:r>
        <w:t>Reconnect the corrected jumper, restore its routed pose and compare the right harness with the baseline.</w:t>
      </w:r>
    </w:p>
    <w:p>
      <w:pPr/>
      <w:r>
        <w:t>Check: Wrong endpoint, missing connection or displaced adjacent harness prevents completion.</w:t>
      </w:r>
    </w:p>
    <w:p>
      <w:pPr>
        <w:pStyle w:val="Heading1"/>
      </w:pPr>
      <w:r>
        <w:t>11 Close the bay</w:t>
      </w:r>
    </w:p>
    <w:p>
      <w:pPr/>
      <w:r>
        <w:t>Model labels: door.inner, door, door.latchupper, door.latchmiddle, door.latchlower</w:t>
      </w:r>
    </w:p>
    <w:p>
      <w:pPr/>
      <w:r>
        <w:t>Check the door sweep against the restored harness, return the door to its closed pose and engage the three latches.</w:t>
      </w:r>
    </w:p>
    <w:p>
      <w:pPr/>
      <w:r>
        <w:t>Check: Do not accept closure while any authored interference or open latch remains.</w:t>
      </w:r>
    </w:p>
    <w:p>
      <w:pPr>
        <w:pStyle w:val="Heading1"/>
      </w:pPr>
      <w:r>
        <w:t>12 Release the maintenance handover</w:t>
      </w:r>
    </w:p>
    <w:p>
      <w:pPr/>
      <w:r>
        <w:t>Model labels: bay.module2, bay.jumper2, door, stand</w:t>
      </w:r>
    </w:p>
    <w:p>
      <w:pPr/>
      <w:r>
        <w:t>Compare final configuration with the baseline and submit the connector correction, ordered action record and required external test evidence.</w:t>
      </w:r>
    </w:p>
    <w:p>
      <w:pPr/>
      <w:r>
        <w:t>Check: The reviewer sees the same model revision, restored module and resolved hold.</w:t>
      </w:r>
    </w:p>
    <w:p>
      <w:pPr>
        <w:pStyle w:val="Heading1"/>
      </w:pPr>
      <w:r>
        <w:t>Assessment and completion</w:t>
      </w:r>
    </w:p>
    <w:p>
      <w:pPr/>
      <w:r>
        <w:t>Score component identification 20, ordered exchange 25, discrepancy resolution 20, restored configuration 20 and evidence 15. Unsupported withdrawal, wrong-connector continuation or missing isolation is a critical stop. A completed visual sequence does not establish electrical continuity or fastener torque.</w:t>
      </w:r>
    </w:p>
    <w:p>
      <w:pPr>
        <w:pStyle w:val="Heading1"/>
      </w:pPr>
      <w:r>
        <w:t>Authoring and headless handoff</w:t>
      </w:r>
    </w:p>
    <w:p>
      <w:pPr/>
      <w:r>
        <w:t>Bind the real module, connector, jumper and door identifiers. Author support states, module parking poses, latch dependencies and door clearance explicitly. Do not infer a hinge axis, connector pinout or module electrical function. Use external records for programme-specific tests.</w:t>
      </w:r>
    </w:p>
    <w:p>
      <w:pPr/>
      <w:r>
        <w:t>Reuse the exact GLB and component identifiers above. Verify the supported Genesis import and binding path; the current Creator scene driver can generate a different model. This document and its JSON describe authoring intent, not completed interactions. Preserve one model revision and record actual lesson, job and review identifiers during execution.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Working brief  25 October 2026                                 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sz w:val="16"/>
      </w:rPr>
      <w:t>EON SPACE VENTURES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Arial" w:hAnsi="Arial" w:eastAsia="Arial" w:cs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Arial" w:cs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Arial" w:cs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cstheme="majorBidi" w:ascii="Arial" w:hAnsi="Arial" w:eastAsia="Arial" w:cs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theme="majorBidi" w:ascii="Arial" w:hAnsi="Arial" w:eastAsia="Arial" w:cs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 w:ascii="Arial" w:hAnsi="Arial" w:eastAsia="Arial" w:cs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 w:ascii="Arial" w:hAnsi="Arial" w:eastAsia="Arial" w:cs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 w:ascii="Arial" w:hAnsi="Arial" w:eastAsia="Arial" w:cs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 w:ascii="Arial" w:hAnsi="Arial" w:eastAsia="Arial" w:cs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 w:ascii="Arial" w:hAnsi="Arial" w:eastAsia="Arial" w:cs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 w:ascii="Arial" w:hAnsi="Arial" w:eastAsia="Arial" w:cs="Arial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 w:ascii="Arial" w:hAnsi="Arial" w:eastAsia="Arial" w:cs="Arial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 w:eastAsia="Arial" w:cs="Arial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cstheme="majorBidi" w:ascii="Arial" w:hAnsi="Arial" w:eastAsia="Arial" w:cs="Arial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260"/>
    </w:pPr>
    <w:rPr>
      <w:rFonts w:cstheme="majorBidi" w:ascii="Arial" w:hAnsi="Arial" w:eastAsia="Arial" w:cs="Arial"/>
      <w:i/>
      <w:iCs/>
      <w:color w:val="00000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 w:eastAsia="Arial" w:cs="Arial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 w:eastAsia="Arial" w:cs="Arial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 w:eastAsia="Arial" w:cs="Arial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 w:eastAsia="Arial" w:cs="Arial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 w:eastAsia="Arial" w:cs="Arial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 w:eastAsia="Arial" w:cs="Arial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 w:eastAsia="Arial" w:cs="Arial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eastAsia="Arial" w:cs="Arial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 w:eastAsia="Arial" w:cs="Arial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 w:eastAsia="Arial" w:cs="Arial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 w:eastAsia="Arial" w:cs="Arial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 w:eastAsia="Arial" w:cs="Arial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 w:eastAsia="Arial" w:cs="Arial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 w:eastAsia="Arial" w:cs="Arial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 w:eastAsia="Arial" w:cs="Arial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 w:eastAsia="Arial" w:cs="Arial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 w:cs="Arial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 w:eastAsia="Arial" w:cs="Arial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 w:eastAsia="Arial" w:cs="Arial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Arial" w:hAnsi="Arial" w:eastAsia="Arial" w:cs="Arial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 w:eastAsia="Arial" w:cs="Arial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eonspaceventures.com/models/#s0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