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Optical head access and protective hood restoration</w:t>
      </w:r>
    </w:p>
    <w:p>
      <w:pPr>
        <w:pStyle w:val="Subtitle"/>
      </w:pPr>
      <w:r>
        <w:t>ESV-S06-SOP-01   Earth observation satellite   Simulation procedure</w:t>
      </w:r>
    </w:p>
    <w:p>
      <w:pPr/>
      <w:r>
        <w:t>Practise accessing the optical head without disturbing its lens, harness or nearby service interfaces. Resolve a cover-selection error and restore the assembly to its protected baseline.</w:t>
      </w:r>
    </w:p>
    <w:p>
      <w:pPr/>
      <w:r>
        <w:t>Use this procedure to author and assess a controlled simulation with the Earth observation satellite model, version 3. This is a concept-model training exercise. It does not authorise real hardware work or establish flight qualification.</w:t>
      </w:r>
    </w:p>
    <w:p>
      <w:pPr>
        <w:pStyle w:val="Heading1"/>
      </w:pPr>
      <w:r>
        <w:t>Before the exercise</w:t>
      </w:r>
    </w:p>
    <w:p>
      <w:pPr/>
      <w:r>
        <w:t>Use the unpowered Earth-observation satellite on its support frame. Supply a no-contact zone for the optical surface, an authored hood parking pose and the access-cover sequence. Real cleanliness classes, alignment limits and handling methods require the programme procedure.</w:t>
      </w:r>
    </w:p>
    <w:p>
      <w:pPr/>
      <w:r>
        <w:t>Identity and provenance: ESV-S06-SOP-01 · S06 · model v3 · 25 October 2026</w:t>
      </w:r>
    </w:p>
    <w:p>
      <w:hyperlink r:id="rId11">
        <w:r>
          <w:rPr>
            <w:color w:val="154A7B"/>
          </w:rPr>
          <w:t>Explore the model and related procedures</w:t>
        </w:r>
      </w:hyperlink>
    </w:p>
    <w:p>
      <w:pPr>
        <w:pStyle w:val="Heading1"/>
      </w:pPr>
      <w:r>
        <w:t>1 Identify the instrument and support</w:t>
      </w:r>
    </w:p>
    <w:p>
      <w:pPr/>
      <w:r>
        <w:t>Model labels: support, bus, optics</w:t>
      </w:r>
    </w:p>
    <w:p>
      <w:pPr/>
      <w:r>
        <w:t>Select the support frame, spacecraft bus and optical head, then save the baseline pose and model revision.</w:t>
      </w:r>
    </w:p>
    <w:p>
      <w:pPr/>
      <w:r>
        <w:t>Check: The optical task must not move the independent support assembly.</w:t>
      </w:r>
    </w:p>
    <w:p>
      <w:pPr>
        <w:pStyle w:val="Heading1"/>
      </w:pPr>
      <w:r>
        <w:t>2 Set the protected work state</w:t>
      </w:r>
    </w:p>
    <w:p>
      <w:pPr/>
      <w:r>
        <w:t>Model labels: optics.lens, optics.rim, optics.hood</w:t>
      </w:r>
    </w:p>
    <w:p>
      <w:pPr/>
      <w:r>
        <w:t>Mark the lens as a no-contact surface and establish the scenario isolation and controlled-access state.</w:t>
      </w:r>
    </w:p>
    <w:p>
      <w:pPr/>
      <w:r>
        <w:t>Check: The learner acknowledges the protected surface before any cover movement.</w:t>
      </w:r>
    </w:p>
    <w:p>
      <w:pPr>
        <w:pStyle w:val="Heading1"/>
      </w:pPr>
      <w:r>
        <w:t>3 Trace the instrument harness</w:t>
      </w:r>
    </w:p>
    <w:p>
      <w:pPr/>
      <w:r>
        <w:t>Model labels: optics.harness, harness.left, harness.right</w:t>
      </w:r>
    </w:p>
    <w:p>
      <w:pPr/>
      <w:r>
        <w:t>Identify the optical harness and distinguish it from the bus side routes. Save the authored route used by this exercise.</w:t>
      </w:r>
    </w:p>
    <w:p>
      <w:pPr/>
      <w:r>
        <w:t>Check: Selecting a bus harness as the instrument connection is rejected.</w:t>
      </w:r>
    </w:p>
    <w:p>
      <w:pPr>
        <w:pStyle w:val="Heading1"/>
        <w:pageBreakBefore/>
      </w:pPr>
      <w:r>
        <w:t>4 Resolve the cover mismatch</w:t>
      </w:r>
    </w:p>
    <w:p>
      <w:pPr/>
      <w:r>
        <w:t>Model labels: hatch, optics.hood, optics.band</w:t>
      </w:r>
    </w:p>
    <w:p>
      <w:pPr/>
      <w:r>
        <w:t>Present an instruction pointing to the bus hatch rather than the optical hood. Place a hold and identify the intended cover.</w:t>
      </w:r>
    </w:p>
    <w:p>
      <w:pPr/>
      <w:r>
        <w:t>Check: Opening the unrelated hatch after the mismatch is a critical error.</w:t>
      </w:r>
    </w:p>
    <w:p>
      <w:pPr>
        <w:pStyle w:val="Heading1"/>
      </w:pPr>
      <w:r>
        <w:t>5 Prepare the hood removal path</w:t>
      </w:r>
    </w:p>
    <w:p>
      <w:pPr/>
      <w:r>
        <w:t>Model labels: optics.hood, optics.rim, optics.harness</w:t>
      </w:r>
    </w:p>
    <w:p>
      <w:pPr/>
      <w:r>
        <w:t>Preview the authored hood translation and its clearance from the rim and harness. Confirm the parked location.</w:t>
      </w:r>
    </w:p>
    <w:p>
      <w:pPr/>
      <w:r>
        <w:t>Check: The path must remain outside the configured optical no-contact zone.</w:t>
      </w:r>
    </w:p>
    <w:p>
      <w:pPr>
        <w:pStyle w:val="Heading1"/>
      </w:pPr>
      <w:r>
        <w:t>6 Remove and park the hood</w:t>
      </w:r>
    </w:p>
    <w:p>
      <w:pPr/>
      <w:r>
        <w:t>Model labels: optics.hood, optics.band, optics</w:t>
      </w:r>
    </w:p>
    <w:p>
      <w:pPr/>
      <w:r>
        <w:t>Release the exercise retention state and move the hood into its parked pose while keeping the optical head fixed.</w:t>
      </w:r>
    </w:p>
    <w:p>
      <w:pPr/>
      <w:r>
        <w:t>Check: Record the correct hood identity, path and parked state.</w:t>
      </w:r>
    </w:p>
    <w:p>
      <w:pPr>
        <w:pStyle w:val="Heading1"/>
      </w:pPr>
      <w:r>
        <w:t>7 Expose the access context</w:t>
      </w:r>
    </w:p>
    <w:p>
      <w:pPr/>
      <w:r>
        <w:t>Model labels: optics.liner, optics.lens, optics.patch</w:t>
      </w:r>
    </w:p>
    <w:p>
      <w:pPr/>
      <w:r>
        <w:t>Identify the liner, lens and patch surfaces now accessible. Compare them with the supplied reference condition card.</w:t>
      </w:r>
    </w:p>
    <w:p>
      <w:pPr/>
      <w:r>
        <w:t>Check: A condition decision must cite the card or observed geometry, not invented internals.</w:t>
      </w:r>
    </w:p>
    <w:p>
      <w:pPr>
        <w:pStyle w:val="Heading1"/>
      </w:pPr>
      <w:r>
        <w:t>8 Restore the optical harness route</w:t>
      </w:r>
    </w:p>
    <w:p>
      <w:pPr/>
      <w:r>
        <w:t>Model labels: optics.harness, harness.rear.left, junction.rear</w:t>
      </w:r>
    </w:p>
    <w:p>
      <w:pPr/>
      <w:r>
        <w:t>Use the scenario route reference to correct a displaced optical harness segment without changing the rear bus junction.</w:t>
      </w:r>
    </w:p>
    <w:p>
      <w:pPr/>
      <w:r>
        <w:t>Check: The target route is restored and the protected junction remains unchanged.</w:t>
      </w:r>
    </w:p>
    <w:p>
      <w:pPr>
        <w:pStyle w:val="Heading1"/>
        <w:pageBreakBefore/>
      </w:pPr>
      <w:r>
        <w:t>9 Prepare the hood for refit</w:t>
      </w:r>
    </w:p>
    <w:p>
      <w:pPr/>
      <w:r>
        <w:t>Model labels: optics.hood, optics.rim, optics.band</w:t>
      </w:r>
    </w:p>
    <w:p>
      <w:pPr/>
      <w:r>
        <w:t>Return the hood from its parked pose to the authored alignment point and compare orientation with the baseline.</w:t>
      </w:r>
    </w:p>
    <w:p>
      <w:pPr/>
      <w:r>
        <w:t>Check: A reversed or incomplete alignment prevents the seating action.</w:t>
      </w:r>
    </w:p>
    <w:p>
      <w:pPr>
        <w:pStyle w:val="Heading1"/>
      </w:pPr>
      <w:r>
        <w:t>10 Seat and retain the hood</w:t>
      </w:r>
    </w:p>
    <w:p>
      <w:pPr/>
      <w:r>
        <w:t>Model labels: optics.hood, optics.band, optics.rim</w:t>
      </w:r>
    </w:p>
    <w:p>
      <w:pPr/>
      <w:r>
        <w:t>Move the hood into its saved seated pose and restore the simulation retention state. Keep the lens untouched.</w:t>
      </w:r>
    </w:p>
    <w:p>
      <w:pPr/>
      <w:r>
        <w:t>Check: Assess seated pose and retention state against declared authoring criteria.</w:t>
      </w:r>
    </w:p>
    <w:p>
      <w:pPr>
        <w:pStyle w:val="Heading1"/>
      </w:pPr>
      <w:r>
        <w:t>11 Verify the surrounding configuration</w:t>
      </w:r>
    </w:p>
    <w:p>
      <w:pPr/>
      <w:r>
        <w:t>Model labels: optics.harness, connectors.left, connectors.right, hatch</w:t>
      </w:r>
    </w:p>
    <w:p>
      <w:pPr/>
      <w:r>
        <w:t>Confirm that the optical route, side connectors and unrelated hatch remain in the intended final states.</w:t>
      </w:r>
    </w:p>
    <w:p>
      <w:pPr/>
      <w:r>
        <w:t>Check: The comparison must identify both the corrected route and unchanged interfaces.</w:t>
      </w:r>
    </w:p>
    <w:p>
      <w:pPr>
        <w:pStyle w:val="Heading1"/>
      </w:pPr>
      <w:r>
        <w:t>12 Hand over the protected instrument</w:t>
      </w:r>
    </w:p>
    <w:p>
      <w:pPr/>
      <w:r>
        <w:t>Model labels: optics, optics.hood, optics.lens, support</w:t>
      </w:r>
    </w:p>
    <w:p>
      <w:pPr/>
      <w:r>
        <w:t>Submit the cover-selection recovery, final pose comparison and evidence of the protected optical surface.</w:t>
      </w:r>
    </w:p>
    <w:p>
      <w:pPr/>
      <w:r>
        <w:t>Check: Complete only when access is closed and no unresolved protection hold remains.</w:t>
      </w:r>
    </w:p>
    <w:p>
      <w:pPr>
        <w:pStyle w:val="Heading1"/>
      </w:pPr>
      <w:r>
        <w:t>Assessment and completion</w:t>
      </w:r>
    </w:p>
    <w:p>
      <w:pPr/>
      <w:r>
        <w:t>Score object identification 20, optical protection 25, cover-discrepancy recovery 20, route and pose restoration 20 and evidence 15. Contact with the protected lens, moving the wrong hatch or unsupported retention assumptions triggers a stop.</w:t>
      </w:r>
    </w:p>
    <w:p>
      <w:pPr>
        <w:pStyle w:val="Heading1"/>
      </w:pPr>
      <w:r>
        <w:t>Authoring and headless handoff</w:t>
      </w:r>
    </w:p>
    <w:p>
      <w:pPr/>
      <w:r>
        <w:t>Author the hood as a declared detachable cover unless a verified mechanism is supplied. Use separate condition cards and protected envelopes. This exercise does not demonstrate optical performance, cleanliness certification or alignment accuracy; those require independent records.</w:t>
      </w:r>
    </w:p>
    <w:p>
      <w:pPr/>
      <w:r>
        <w:t>Reuse the exact GLB and component identifiers above. Verify the supported Genesis import and binding path; the current Creator scene driver can generate a different model. This document and its JSON describe authoring intent, not completed interactions. Preserve one model revision and record actual lesson, job and review identifiers during execution.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Working brief  25 October 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EON SPACE VENTURES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cstheme="majorBidi"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Arial" w:hAnsi="Arial" w:eastAsia="Arial" w:cs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Arial" w:hAnsi="Arial" w:eastAsia="Arial" w:cs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Arial" w:hAnsi="Arial" w:eastAsia="Arial" w:cs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onspaceventures.com/models/#s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