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Cold feeder obstruction recovery and reassembly</w:t>
      </w:r>
    </w:p>
    <w:p>
      <w:pPr>
        <w:pStyle w:val="Subtitle"/>
      </w:pPr>
      <w:r>
        <w:t>ESV-S07-SOP-01   Lunar ISRU plant   Simulation procedure</w:t>
      </w:r>
    </w:p>
    <w:p>
      <w:pPr/>
      <w:r>
        <w:t>Rehearse recovering a simulated feeder obstruction with inert material while the plant is cold and unpowered. Isolate the affected path, expose the service area, correct the obstruction state and restore the assembly.</w:t>
      </w:r>
    </w:p>
    <w:p>
      <w:pPr/>
      <w:r>
        <w:t>Use this procedure to author and assess a controlled simulation with the Lunar ISRU plant model, version 4. This is a concept-model training exercise. It does not authorise real hardware work or establish flight qualification.</w:t>
      </w:r>
    </w:p>
    <w:p>
      <w:pPr>
        <w:pStyle w:val="Heading1"/>
      </w:pPr>
      <w:r>
        <w:t>Before the exercise</w:t>
      </w:r>
    </w:p>
    <w:p>
      <w:pPr/>
      <w:r>
        <w:t>Use the lunar-process-plant concept as a cold, unpressurised training rig. The obstruction and clearance states are exercise data, not generated regolith physics. Supply the access sequence, removable groups, parked poses and restart criteria. Do not connect the exercise to real equipment.</w:t>
      </w:r>
    </w:p>
    <w:p>
      <w:pPr/>
      <w:r>
        <w:t>Identity and provenance: ESV-S07-SOP-01 · S07 · model v4 · 25 October 2026</w:t>
      </w:r>
    </w:p>
    <w:p>
      <w:hyperlink r:id="rId11">
        <w:r>
          <w:rPr>
            <w:color w:val="154A7B"/>
          </w:rPr>
          <w:t>Explore the model and related procedures</w:t>
        </w:r>
      </w:hyperlink>
    </w:p>
    <w:p>
      <w:pPr>
        <w:pStyle w:val="Heading1"/>
      </w:pPr>
      <w:r>
        <w:t>1 Identify the affected process path</w:t>
      </w:r>
    </w:p>
    <w:p>
      <w:pPr/>
      <w:r>
        <w:t>Model labels: feeder, feed_tube, vessel, skid</w:t>
      </w:r>
    </w:p>
    <w:p>
      <w:pPr/>
      <w:r>
        <w:t>Trace the feed route from feeder through tube to vessel and identify the fixed skid. Save the baseline configuration.</w:t>
      </w:r>
    </w:p>
    <w:p>
      <w:pPr/>
      <w:r>
        <w:t>Check: The learner distinguishes the affected route from the outlet path.</w:t>
      </w:r>
    </w:p>
    <w:p>
      <w:pPr>
        <w:pStyle w:val="Heading1"/>
      </w:pPr>
      <w:r>
        <w:t>2 Establish the cold work state</w:t>
      </w:r>
    </w:p>
    <w:p>
      <w:pPr/>
      <w:r>
        <w:t>Model labels: main_cabinet, aux_cabinet, feeder_drive</w:t>
      </w:r>
    </w:p>
    <w:p>
      <w:pPr/>
      <w:r>
        <w:t>Read the scenario record confirming cold, unpowered and unpressurised conditions. Place the feeder drive in its disabled training state.</w:t>
      </w:r>
    </w:p>
    <w:p>
      <w:pPr/>
      <w:r>
        <w:t>Check: Physical appearance is not accepted as evidence of isolation.</w:t>
      </w:r>
    </w:p>
    <w:p>
      <w:pPr>
        <w:pStyle w:val="Heading1"/>
      </w:pPr>
      <w:r>
        <w:t>3 Confirm the obstruction finding</w:t>
      </w:r>
    </w:p>
    <w:p>
      <w:pPr/>
      <w:r>
        <w:t>Model labels: hopper_rim, feeder, feed_lower_connection</w:t>
      </w:r>
    </w:p>
    <w:p>
      <w:pPr/>
      <w:r>
        <w:t>Read the supplied obstruction indication and select the feed interfaces that bound the proposed service scope.</w:t>
      </w:r>
    </w:p>
    <w:p>
      <w:pPr/>
      <w:r>
        <w:t>Check: The fault must be supported by the scenario indication and correct route.</w:t>
      </w:r>
    </w:p>
    <w:p>
      <w:pPr>
        <w:pStyle w:val="Heading1"/>
        <w:pageBreakBefore/>
      </w:pPr>
      <w:r>
        <w:t>4 Resolve the wrong access instruction</w:t>
      </w:r>
    </w:p>
    <w:p>
      <w:pPr/>
      <w:r>
        <w:t>Model labels: feeder_drive_end_cover, collection_lid, feeder_drive</w:t>
      </w:r>
    </w:p>
    <w:p>
      <w:pPr/>
      <w:r>
        <w:t>Present an instruction naming the collection lid rather than the feeder drive cover. Place a hold and correct the selected access location.</w:t>
      </w:r>
    </w:p>
    <w:p>
      <w:pPr/>
      <w:r>
        <w:t>Check: Opening the unrelated collection area after the mismatch is a critical error.</w:t>
      </w:r>
    </w:p>
    <w:p>
      <w:pPr>
        <w:pStyle w:val="Heading1"/>
      </w:pPr>
      <w:r>
        <w:t>5 Prepare the service access</w:t>
      </w:r>
    </w:p>
    <w:p>
      <w:pPr/>
      <w:r>
        <w:t>Model labels: feeder_drive_end_cover, drive_flange, aux_cabinet</w:t>
      </w:r>
    </w:p>
    <w:p>
      <w:pPr/>
      <w:r>
        <w:t>Preview the authored end-cover removal path, define its parked pose and preserve the adjacent cabinet configuration.</w:t>
      </w:r>
    </w:p>
    <w:p>
      <w:pPr/>
      <w:r>
        <w:t>Check: Access is blocked until the disabled-drive state and correct cover are confirmed.</w:t>
      </w:r>
    </w:p>
    <w:p>
      <w:pPr>
        <w:pStyle w:val="Heading1"/>
      </w:pPr>
      <w:r>
        <w:t>6 Remove the feeder cover</w:t>
      </w:r>
    </w:p>
    <w:p>
      <w:pPr/>
      <w:r>
        <w:t>Model labels: feeder_drive_end_cover, feeder_drive, drive_flange</w:t>
      </w:r>
    </w:p>
    <w:p>
      <w:pPr/>
      <w:r>
        <w:t>Release the exercise cover retention and move the end cover to its parked pose without moving the drive or flange.</w:t>
      </w:r>
    </w:p>
    <w:p>
      <w:pPr/>
      <w:r>
        <w:t>Check: The intended cover reaches its parked state and adjacent references remain fixed.</w:t>
      </w:r>
    </w:p>
    <w:p>
      <w:pPr>
        <w:pStyle w:val="Heading1"/>
      </w:pPr>
      <w:r>
        <w:t>7 Expose the auger service context</w:t>
      </w:r>
    </w:p>
    <w:p>
      <w:pPr/>
      <w:r>
        <w:t>Model labels: auger_shaft, feeder, feed_tube</w:t>
      </w:r>
    </w:p>
    <w:p>
      <w:pPr/>
      <w:r>
        <w:t>Use the authored service view to identify the auger and tube interface. Confirm the support and withdrawal dependencies in the scenario.</w:t>
      </w:r>
    </w:p>
    <w:p>
      <w:pPr/>
      <w:r>
        <w:t>Check: Hidden clearances and shaft-removal details must come from author settings.</w:t>
      </w:r>
    </w:p>
    <w:p>
      <w:pPr>
        <w:pStyle w:val="Heading1"/>
      </w:pPr>
      <w:r>
        <w:t>8 Set the obstruction recovery state</w:t>
      </w:r>
    </w:p>
    <w:p>
      <w:pPr/>
      <w:r>
        <w:t>Model labels: auger_shaft, feed_lower_connection, feed_tube</w:t>
      </w:r>
    </w:p>
    <w:p>
      <w:pPr/>
      <w:r>
        <w:t>Move the permitted service group to its declared access pose and apply the reviewed inert-obstruction recovery action.</w:t>
      </w:r>
    </w:p>
    <w:p>
      <w:pPr/>
      <w:r>
        <w:t>Check: The obstruction flag clears only after the correct access and recovery sequence.</w:t>
      </w:r>
    </w:p>
    <w:p>
      <w:pPr>
        <w:pStyle w:val="Heading1"/>
        <w:pageBreakBefore/>
      </w:pPr>
      <w:r>
        <w:t>9 Restore the feed interface</w:t>
      </w:r>
    </w:p>
    <w:p>
      <w:pPr/>
      <w:r>
        <w:t>Model labels: auger_shaft, feed_flange_1, feed_flange_2</w:t>
      </w:r>
    </w:p>
    <w:p>
      <w:pPr/>
      <w:r>
        <w:t>Return the service group and both feed-interface references to their baseline poses and authored retention states.</w:t>
      </w:r>
    </w:p>
    <w:p>
      <w:pPr/>
      <w:r>
        <w:t>Check: Incorrect orientation or an incomplete interface state prevents closure.</w:t>
      </w:r>
    </w:p>
    <w:p>
      <w:pPr>
        <w:pStyle w:val="Heading1"/>
      </w:pPr>
      <w:r>
        <w:t>10 Refit the drive cover</w:t>
      </w:r>
    </w:p>
    <w:p>
      <w:pPr/>
      <w:r>
        <w:t>Model labels: feeder_drive_end_cover, drive_flange, feeder_drive</w:t>
      </w:r>
    </w:p>
    <w:p>
      <w:pPr/>
      <w:r>
        <w:t>Return the cover to its seated pose and restore its configured retention while leaving the drive disabled.</w:t>
      </w:r>
    </w:p>
    <w:p>
      <w:pPr/>
      <w:r>
        <w:t>Check: The cover pose and retention state must agree before the next stage.</w:t>
      </w:r>
    </w:p>
    <w:p>
      <w:pPr>
        <w:pStyle w:val="Heading1"/>
      </w:pPr>
      <w:r>
        <w:t>11 Request the simulated restart check</w:t>
      </w:r>
    </w:p>
    <w:p>
      <w:pPr/>
      <w:r>
        <w:t>Model labels: feeder_drive, feeder, feed_tube</w:t>
      </w:r>
    </w:p>
    <w:p>
      <w:pPr/>
      <w:r>
        <w:t>Request the exercise checkout result after confirming the route is restored. Keep actual energisation outside this procedure.</w:t>
      </w:r>
    </w:p>
    <w:p>
      <w:pPr/>
      <w:r>
        <w:t>Check: Use the supplied result; geometry alone cannot establish feed flow or motor health.</w:t>
      </w:r>
    </w:p>
    <w:p>
      <w:pPr>
        <w:pStyle w:val="Heading1"/>
      </w:pPr>
      <w:r>
        <w:t>12 Hand over the recovered feeder</w:t>
      </w:r>
    </w:p>
    <w:p>
      <w:pPr/>
      <w:r>
        <w:t>Model labels: feeder, auger_shaft, feeder_drive_end_cover, skid</w:t>
      </w:r>
    </w:p>
    <w:p>
      <w:pPr/>
      <w:r>
        <w:t>Submit the access correction, obstruction recovery, restored configuration and simulated checkout result for review.</w:t>
      </w:r>
    </w:p>
    <w:p>
      <w:pPr/>
      <w:r>
        <w:t>Check: The end state is restored, with no unresolved hold or unsupported restart claim.</w:t>
      </w:r>
    </w:p>
    <w:p>
      <w:pPr>
        <w:pStyle w:val="Heading1"/>
      </w:pPr>
      <w:r>
        <w:t>Assessment and completion</w:t>
      </w:r>
    </w:p>
    <w:p>
      <w:pPr/>
      <w:r>
        <w:t>Score route identification 20, isolation and access order 25, discrepancy recovery 20, reassembly 20 and evidence 15. Unconfirmed cold state, accessing the wrong area or bypassing cover restoration is a critical stop.</w:t>
      </w:r>
    </w:p>
    <w:p>
      <w:pPr>
        <w:pStyle w:val="Heading1"/>
      </w:pPr>
      <w:r>
        <w:t>Authoring and headless handoff</w:t>
      </w:r>
    </w:p>
    <w:p>
      <w:pPr/>
      <w:r>
        <w:t>Keep obstruction, isolation and checkout results as explicit simulation states. Author cover and permitted service-group transforms; do not infer shaft extraction, material flow, motor torque or live restart behaviour from the mesh. Use external programme records for physical limits.</w:t>
      </w:r>
    </w:p>
    <w:p>
      <w:pPr/>
      <w:r>
        <w:t>Reuse the exact GLB and component identifiers above. Verify the supported Genesis import and binding path; the current Creator scene driver can generate a different model. This document and its JSON describe authoring intent, not completed interactions. Preserve one model revision and record actual lesson, job and review identifiers during execution.</w:t>
      </w:r>
    </w:p>
    <w:sectPr w:rsidR="00FC693F" w:rsidRPr="0006063C" w:rsidSect="00034616">
      <w:headerReference w:type="default" r:id="rId9"/>
      <w:footerReference w:type="default" r:id="rId10"/>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Working brief  25 October 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sz w:val="16"/>
      </w:rPr>
      <w:t>EON SPACE VENTURES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eastAsia="Arial" w:cs="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eastAsia="Arial" w:cs="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cs="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cstheme="majorBidi" w:ascii="Arial" w:hAnsi="Arial" w:eastAsia="Arial" w:cs="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Arial" w:hAnsi="Arial" w:eastAsia="Arial" w:cs="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ascii="Arial" w:hAnsi="Arial" w:eastAsia="Arial" w:cs="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ascii="Arial" w:hAnsi="Arial" w:eastAsia="Arial" w:cs="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ascii="Arial" w:hAnsi="Arial" w:eastAsia="Arial" w:cs="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ascii="Arial" w:hAnsi="Arial" w:eastAsia="Arial" w:cs="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ascii="Arial" w:hAnsi="Arial" w:eastAsia="Arial" w:cs="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ascii="Arial" w:hAnsi="Arial" w:eastAsia="Arial" w:cs="Arial"/>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ascii="Arial" w:hAnsi="Arial" w:eastAsia="Arial" w:cs="Arial"/>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eastAsia="Arial" w:cs="Arial"/>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cstheme="majorBidi" w:ascii="Arial" w:hAnsi="Arial" w:eastAsia="Arial" w:cs="Arial"/>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60"/>
    </w:pPr>
    <w:rPr>
      <w:rFonts w:cstheme="majorBidi" w:ascii="Arial" w:hAnsi="Arial" w:eastAsia="Arial" w:cs="Arial"/>
      <w:i/>
      <w:iCs/>
      <w:color w:val="00000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Arial" w:hAnsi="Arial" w:eastAsia="Arial" w:cs="Arial"/>
      <w:color w:val="000000"/>
    </w:rPr>
  </w:style>
  <w:style w:type="paragraph" w:styleId="BodyText">
    <w:name w:val="Body Text"/>
    <w:basedOn w:val="Normal"/>
    <w:link w:val="BodyTextChar"/>
    <w:uiPriority w:val="99"/>
    <w:unhideWhenUsed/>
    <w:rsid w:val="00AA1D8D"/>
    <w:pPr>
      <w:spacing w:after="120"/>
    </w:pPr>
    <w:rPr>
      <w:rFonts w:ascii="Arial" w:hAnsi="Arial" w:eastAsia="Arial" w:cs="Arial"/>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Arial" w:hAnsi="Arial" w:eastAsia="Arial" w:cs="Arial"/>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eastAsia="Arial" w:cs="Arial"/>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Arial" w:hAnsi="Arial" w:eastAsia="Arial" w:cs="Arial"/>
      <w:color w:val="000000"/>
    </w:rPr>
  </w:style>
  <w:style w:type="paragraph" w:styleId="List2">
    <w:name w:val="List 2"/>
    <w:basedOn w:val="Normal"/>
    <w:uiPriority w:val="99"/>
    <w:unhideWhenUsed/>
    <w:rsid w:val="00326F90"/>
    <w:pPr>
      <w:ind w:left="720" w:hanging="360"/>
      <w:contextualSpacing/>
    </w:pPr>
    <w:rPr>
      <w:rFonts w:ascii="Arial" w:hAnsi="Arial" w:eastAsia="Arial" w:cs="Arial"/>
      <w:color w:val="000000"/>
    </w:rPr>
  </w:style>
  <w:style w:type="paragraph" w:styleId="List3">
    <w:name w:val="List 3"/>
    <w:basedOn w:val="Normal"/>
    <w:uiPriority w:val="99"/>
    <w:unhideWhenUsed/>
    <w:rsid w:val="00326F90"/>
    <w:pPr>
      <w:ind w:left="1080" w:hanging="360"/>
      <w:contextualSpacing/>
    </w:pPr>
    <w:rPr>
      <w:rFonts w:ascii="Arial" w:hAnsi="Arial" w:eastAsia="Arial" w:cs="Arial"/>
      <w:color w:val="000000"/>
    </w:rPr>
  </w:style>
  <w:style w:type="paragraph" w:styleId="ListBullet">
    <w:name w:val="List Bullet"/>
    <w:basedOn w:val="Normal"/>
    <w:uiPriority w:val="99"/>
    <w:unhideWhenUsed/>
    <w:rsid w:val="00326F90"/>
    <w:pPr>
      <w:numPr>
        <w:numId w:val="1"/>
      </w:numPr>
      <w:contextualSpacing/>
    </w:pPr>
    <w:rPr>
      <w:rFonts w:ascii="Arial" w:hAnsi="Arial" w:eastAsia="Arial" w:cs="Arial"/>
      <w:color w:val="000000"/>
    </w:rPr>
  </w:style>
  <w:style w:type="paragraph" w:styleId="ListBullet2">
    <w:name w:val="List Bullet 2"/>
    <w:basedOn w:val="Normal"/>
    <w:uiPriority w:val="99"/>
    <w:unhideWhenUsed/>
    <w:rsid w:val="00326F90"/>
    <w:pPr>
      <w:numPr>
        <w:numId w:val="2"/>
      </w:numPr>
      <w:contextualSpacing/>
    </w:pPr>
    <w:rPr>
      <w:rFonts w:ascii="Arial" w:hAnsi="Arial" w:eastAsia="Arial" w:cs="Arial"/>
      <w:color w:val="000000"/>
    </w:rPr>
  </w:style>
  <w:style w:type="paragraph" w:styleId="ListBullet3">
    <w:name w:val="List Bullet 3"/>
    <w:basedOn w:val="Normal"/>
    <w:uiPriority w:val="99"/>
    <w:unhideWhenUsed/>
    <w:rsid w:val="00326F90"/>
    <w:pPr>
      <w:numPr>
        <w:numId w:val="3"/>
      </w:numPr>
      <w:contextualSpacing/>
    </w:pPr>
    <w:rPr>
      <w:rFonts w:ascii="Arial" w:hAnsi="Arial" w:eastAsia="Arial" w:cs="Arial"/>
      <w:color w:val="000000"/>
    </w:rPr>
  </w:style>
  <w:style w:type="paragraph" w:styleId="ListNumber">
    <w:name w:val="List Number"/>
    <w:basedOn w:val="Normal"/>
    <w:uiPriority w:val="99"/>
    <w:unhideWhenUsed/>
    <w:rsid w:val="00326F90"/>
    <w:pPr>
      <w:numPr>
        <w:numId w:val="5"/>
      </w:numPr>
      <w:contextualSpacing/>
    </w:pPr>
    <w:rPr>
      <w:rFonts w:ascii="Arial" w:hAnsi="Arial" w:eastAsia="Arial" w:cs="Arial"/>
      <w:color w:val="000000"/>
    </w:rPr>
  </w:style>
  <w:style w:type="paragraph" w:styleId="ListNumber2">
    <w:name w:val="List Number 2"/>
    <w:basedOn w:val="Normal"/>
    <w:uiPriority w:val="99"/>
    <w:unhideWhenUsed/>
    <w:rsid w:val="0029639D"/>
    <w:pPr>
      <w:numPr>
        <w:numId w:val="6"/>
      </w:numPr>
      <w:contextualSpacing/>
    </w:pPr>
    <w:rPr>
      <w:rFonts w:ascii="Arial" w:hAnsi="Arial" w:eastAsia="Arial" w:cs="Arial"/>
      <w:color w:val="000000"/>
    </w:rPr>
  </w:style>
  <w:style w:type="paragraph" w:styleId="ListNumber3">
    <w:name w:val="List Number 3"/>
    <w:basedOn w:val="Normal"/>
    <w:uiPriority w:val="99"/>
    <w:unhideWhenUsed/>
    <w:rsid w:val="0029639D"/>
    <w:pPr>
      <w:numPr>
        <w:numId w:val="7"/>
      </w:numPr>
      <w:contextualSpacing/>
    </w:pPr>
    <w:rPr>
      <w:rFonts w:ascii="Arial" w:hAnsi="Arial" w:eastAsia="Arial" w:cs="Arial"/>
      <w:color w:val="000000"/>
    </w:rPr>
  </w:style>
  <w:style w:type="paragraph" w:styleId="ListContinue">
    <w:name w:val="List Continue"/>
    <w:basedOn w:val="Normal"/>
    <w:uiPriority w:val="99"/>
    <w:unhideWhenUsed/>
    <w:rsid w:val="0029639D"/>
    <w:pPr>
      <w:spacing w:after="120"/>
      <w:ind w:left="360"/>
      <w:contextualSpacing/>
    </w:pPr>
    <w:rPr>
      <w:rFonts w:ascii="Arial" w:hAnsi="Arial" w:eastAsia="Arial" w:cs="Arial"/>
      <w:color w:val="000000"/>
    </w:rPr>
  </w:style>
  <w:style w:type="paragraph" w:styleId="ListContinue2">
    <w:name w:val="List Continue 2"/>
    <w:basedOn w:val="Normal"/>
    <w:uiPriority w:val="99"/>
    <w:unhideWhenUsed/>
    <w:rsid w:val="0029639D"/>
    <w:pPr>
      <w:spacing w:after="120"/>
      <w:ind w:left="720"/>
      <w:contextualSpacing/>
    </w:pPr>
    <w:rPr>
      <w:rFonts w:ascii="Arial" w:hAnsi="Arial" w:eastAsia="Arial" w:cs="Arial"/>
      <w:color w:val="000000"/>
    </w:rPr>
  </w:style>
  <w:style w:type="paragraph" w:styleId="ListContinue3">
    <w:name w:val="List Continue 3"/>
    <w:basedOn w:val="Normal"/>
    <w:uiPriority w:val="99"/>
    <w:unhideWhenUsed/>
    <w:rsid w:val="0029639D"/>
    <w:pPr>
      <w:spacing w:after="120"/>
      <w:ind w:left="1080"/>
      <w:contextualSpacing/>
    </w:pPr>
    <w:rPr>
      <w:rFonts w:ascii="Arial" w:hAnsi="Arial" w:eastAsia="Arial" w:cs="Arial"/>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Arial" w:hAnsi="Arial" w:eastAsia="Arial" w:cs="Arial"/>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eastAsia="Arial" w:cs="Arial"/>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eastAsia="Arial" w:cs="Arial"/>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eastAsia="Arial" w:cs="Arial"/>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eonspaceventures.com/models/#s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